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bidi w:val="0"/>
        <w:ind w:left="0" w:right="0" w:hanging="0"/>
        <w:jc w:val="left"/>
        <w:rPr>
          <w:caps w:val="false"/>
          <w:smallCaps w:val="false"/>
          <w:color w:val="1D2228"/>
          <w:spacing w:val="0"/>
        </w:rPr>
      </w:pPr>
      <w:r>
        <w:rPr>
          <w:rFonts w:ascii="Helvetica Neue;Helvetica;Arial;sans-serif" w:hAnsi="Helvetica Neue;Helvetica;Arial;sans-serif"/>
          <w:b w:val="false"/>
          <w:i w:val="false"/>
          <w:caps w:val="false"/>
          <w:smallCaps w:val="false"/>
          <w:color w:val="1D2228"/>
          <w:spacing w:val="0"/>
          <w:sz w:val="24"/>
        </w:rPr>
        <w:t>Public Utility Commission of Texas</w:t>
        <w:tab/>
        <w:tab/>
        <w:tab/>
        <w:tab/>
        <w:tab/>
        <w:tab/>
        <w:t>30 August 2023</w:t>
      </w:r>
    </w:p>
    <w:p>
      <w:pPr>
        <w:pStyle w:val="Normal"/>
        <w:widowControl/>
        <w:bidi w:val="0"/>
        <w:ind w:left="0" w:right="0" w:hanging="0"/>
        <w:jc w:val="left"/>
        <w:rPr>
          <w:caps w:val="false"/>
          <w:smallCaps w:val="false"/>
          <w:color w:val="1D2228"/>
          <w:spacing w:val="0"/>
        </w:rPr>
      </w:pPr>
      <w:r>
        <w:rPr>
          <w:rFonts w:ascii="Helvetica Neue;Helvetica;Arial;sans-serif" w:hAnsi="Helvetica Neue;Helvetica;Arial;sans-serif"/>
          <w:b w:val="false"/>
          <w:i w:val="false"/>
          <w:caps w:val="false"/>
          <w:smallCaps w:val="false"/>
          <w:color w:val="1D2228"/>
          <w:spacing w:val="0"/>
          <w:sz w:val="24"/>
        </w:rPr>
        <w:t>Central Records</w:t>
      </w:r>
    </w:p>
    <w:p>
      <w:pPr>
        <w:pStyle w:val="Normal"/>
        <w:widowControl/>
        <w:bidi w:val="0"/>
        <w:ind w:left="0" w:right="0" w:hanging="0"/>
        <w:jc w:val="left"/>
        <w:rPr>
          <w:caps w:val="false"/>
          <w:smallCaps w:val="false"/>
          <w:color w:val="1D2228"/>
          <w:spacing w:val="0"/>
        </w:rPr>
      </w:pPr>
      <w:r>
        <w:rPr>
          <w:rFonts w:ascii="Helvetica Neue;Helvetica;Arial;sans-serif" w:hAnsi="Helvetica Neue;Helvetica;Arial;sans-serif"/>
          <w:b w:val="false"/>
          <w:i w:val="false"/>
          <w:caps w:val="false"/>
          <w:smallCaps w:val="false"/>
          <w:color w:val="1D2228"/>
          <w:spacing w:val="0"/>
          <w:sz w:val="24"/>
        </w:rPr>
        <w:t>P.O.Box 13326</w:t>
      </w:r>
    </w:p>
    <w:p>
      <w:pPr>
        <w:pStyle w:val="Normal"/>
        <w:widowControl/>
        <w:bidi w:val="0"/>
        <w:ind w:left="0" w:right="0" w:hanging="0"/>
        <w:jc w:val="left"/>
        <w:rPr>
          <w:caps w:val="false"/>
          <w:smallCaps w:val="false"/>
          <w:color w:val="1D2228"/>
          <w:spacing w:val="0"/>
        </w:rPr>
      </w:pPr>
      <w:r>
        <w:rPr>
          <w:rFonts w:ascii="Helvetica Neue;Helvetica;Arial;sans-serif" w:hAnsi="Helvetica Neue;Helvetica;Arial;sans-serif"/>
          <w:b w:val="false"/>
          <w:i w:val="false"/>
          <w:caps w:val="false"/>
          <w:smallCaps w:val="false"/>
          <w:color w:val="1D2228"/>
          <w:spacing w:val="0"/>
          <w:sz w:val="24"/>
        </w:rPr>
        <w:t>Austin, TX  78711-3326</w:t>
      </w:r>
    </w:p>
    <w:p>
      <w:pPr>
        <w:pStyle w:val="Normal"/>
        <w:widowControl/>
        <w:bidi w:val="0"/>
        <w:ind w:left="0" w:right="0" w:hanging="0"/>
        <w:jc w:val="left"/>
        <w:rPr>
          <w:caps w:val="false"/>
          <w:smallCaps w:val="false"/>
          <w:color w:val="1D2228"/>
          <w:spacing w:val="0"/>
        </w:rPr>
      </w:pPr>
      <w:r>
        <w:rPr/>
      </w:r>
    </w:p>
    <w:p>
      <w:pPr>
        <w:pStyle w:val="Normal"/>
        <w:widowControl/>
        <w:bidi w:val="0"/>
        <w:ind w:left="0" w:right="0" w:hanging="0"/>
        <w:jc w:val="left"/>
        <w:rPr>
          <w:caps w:val="false"/>
          <w:smallCaps w:val="false"/>
          <w:color w:val="1D2228"/>
          <w:spacing w:val="0"/>
        </w:rPr>
      </w:pPr>
      <w:r>
        <w:rPr>
          <w:rFonts w:ascii="Helvetica Neue;Helvetica;Arial;sans-serif" w:hAnsi="Helvetica Neue;Helvetica;Arial;sans-serif"/>
          <w:b w:val="false"/>
          <w:i w:val="false"/>
          <w:caps w:val="false"/>
          <w:smallCaps w:val="false"/>
          <w:color w:val="1D2228"/>
          <w:spacing w:val="0"/>
          <w:sz w:val="24"/>
        </w:rPr>
        <w:t>Subject:  Letter of Concern</w:t>
      </w:r>
    </w:p>
    <w:p>
      <w:pPr>
        <w:pStyle w:val="Normal"/>
        <w:widowControl/>
        <w:bidi w:val="0"/>
        <w:ind w:left="0" w:right="0" w:hanging="0"/>
        <w:jc w:val="left"/>
        <w:rPr>
          <w:caps w:val="false"/>
          <w:smallCaps w:val="false"/>
          <w:color w:val="1D2228"/>
          <w:spacing w:val="0"/>
        </w:rPr>
      </w:pPr>
      <w:r>
        <w:rPr/>
      </w:r>
    </w:p>
    <w:p>
      <w:pPr>
        <w:pStyle w:val="Normal"/>
        <w:widowControl/>
        <w:bidi w:val="0"/>
        <w:ind w:left="0" w:right="0" w:hanging="0"/>
        <w:jc w:val="left"/>
        <w:rPr>
          <w:caps w:val="false"/>
          <w:smallCaps w:val="false"/>
          <w:color w:val="1D2228"/>
          <w:spacing w:val="0"/>
        </w:rPr>
      </w:pPr>
      <w:r>
        <w:rPr>
          <w:rFonts w:ascii="Helvetica Neue;Helvetica;Arial;sans-serif" w:hAnsi="Helvetica Neue;Helvetica;Arial;sans-serif"/>
          <w:b w:val="false"/>
          <w:i w:val="false"/>
          <w:caps w:val="false"/>
          <w:smallCaps w:val="false"/>
          <w:color w:val="1D2228"/>
          <w:spacing w:val="0"/>
          <w:sz w:val="24"/>
        </w:rPr>
        <w:t>TO WHOM IT MAY CONCERN</w:t>
      </w:r>
    </w:p>
    <w:p>
      <w:pPr>
        <w:pStyle w:val="Normal"/>
        <w:widowControl/>
        <w:bidi w:val="0"/>
        <w:ind w:left="0" w:right="0" w:hanging="0"/>
        <w:jc w:val="left"/>
        <w:rPr>
          <w:caps w:val="false"/>
          <w:smallCaps w:val="false"/>
          <w:color w:val="1D2228"/>
          <w:spacing w:val="0"/>
        </w:rPr>
      </w:pPr>
      <w:r>
        <w:rPr/>
      </w:r>
    </w:p>
    <w:p>
      <w:pPr>
        <w:pStyle w:val="Normal"/>
        <w:widowControl/>
        <w:bidi w:val="0"/>
        <w:ind w:left="0" w:right="0" w:hanging="0"/>
        <w:jc w:val="left"/>
        <w:rPr>
          <w:caps w:val="false"/>
          <w:smallCaps w:val="false"/>
          <w:color w:val="1D2228"/>
          <w:spacing w:val="0"/>
        </w:rPr>
      </w:pPr>
      <w:r>
        <w:rPr>
          <w:rFonts w:ascii="Helvetica Neue;Helvetica;Arial;sans-serif" w:hAnsi="Helvetica Neue;Helvetica;Arial;sans-serif"/>
          <w:b w:val="false"/>
          <w:i w:val="false"/>
          <w:caps w:val="false"/>
          <w:smallCaps w:val="false"/>
          <w:color w:val="1D2228"/>
          <w:spacing w:val="0"/>
          <w:sz w:val="24"/>
        </w:rPr>
        <w:t xml:space="preserve">  </w:t>
      </w:r>
      <w:r>
        <w:rPr>
          <w:rFonts w:ascii="Helvetica Neue;Helvetica;Arial;sans-serif" w:hAnsi="Helvetica Neue;Helvetica;Arial;sans-serif"/>
          <w:b w:val="false"/>
          <w:i w:val="false"/>
          <w:caps w:val="false"/>
          <w:smallCaps w:val="false"/>
          <w:color w:val="1D2228"/>
          <w:spacing w:val="0"/>
          <w:sz w:val="24"/>
        </w:rPr>
        <w:t xml:space="preserve">Our concern, in this matter, is </w:t>
      </w:r>
      <w:r>
        <w:rPr>
          <w:rFonts w:ascii="Helvetica Neue;Helvetica;Arial;sans-serif" w:hAnsi="Helvetica Neue;Helvetica;Arial;sans-serif"/>
          <w:b w:val="false"/>
          <w:i w:val="false"/>
          <w:caps w:val="false"/>
          <w:smallCaps w:val="false"/>
          <w:color w:val="1D2228"/>
          <w:spacing w:val="0"/>
          <w:sz w:val="24"/>
        </w:rPr>
        <w:t>the latest TWU Response to Requests for Hearing, filed 25 Aug 23.</w:t>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r>
    </w:p>
    <w:p>
      <w:pPr>
        <w:pStyle w:val="Normal"/>
        <w:widowControl/>
        <w:bidi w:val="0"/>
        <w:ind w:left="0" w:right="0" w:hanging="0"/>
        <w:jc w:val="left"/>
        <w:rPr>
          <w:caps w:val="false"/>
          <w:smallCaps w:val="false"/>
          <w:color w:val="1D2228"/>
          <w:spacing w:val="0"/>
        </w:rPr>
      </w:pPr>
      <w:r>
        <w:rPr>
          <w:caps w:val="false"/>
          <w:smallCaps w:val="false"/>
          <w:color w:val="1D2228"/>
          <w:spacing w:val="0"/>
        </w:rPr>
        <w:t xml:space="preserve">    </w:t>
      </w:r>
      <w:r>
        <w:rPr>
          <w:rFonts w:ascii="Helvetica Neue;Helvetica;Arial;sans-serif" w:hAnsi="Helvetica Neue;Helvetica;Arial;sans-serif"/>
          <w:b w:val="false"/>
          <w:i w:val="false"/>
          <w:caps w:val="false"/>
          <w:smallCaps w:val="false"/>
          <w:color w:val="1D2228"/>
          <w:spacing w:val="0"/>
          <w:sz w:val="24"/>
        </w:rPr>
        <w:t xml:space="preserve">TWU's reference to TWC 13.3011 / 13.301 and claim that "A review of TWU's </w:t>
      </w:r>
      <w:r>
        <w:rPr>
          <w:rFonts w:ascii="Helvetica Neue;Helvetica;Arial;sans-serif" w:hAnsi="Helvetica Neue;Helvetica;Arial;sans-serif"/>
          <w:b w:val="false"/>
          <w:i w:val="false"/>
          <w:caps w:val="false"/>
          <w:smallCaps w:val="false"/>
          <w:color w:val="1D2228"/>
          <w:spacing w:val="0"/>
          <w:sz w:val="24"/>
          <w:u w:val="none"/>
        </w:rPr>
        <w:t xml:space="preserve">rates </w:t>
      </w:r>
      <w:r>
        <w:rPr>
          <w:rFonts w:ascii="Helvetica Neue;Helvetica;Arial;sans-serif" w:hAnsi="Helvetica Neue;Helvetica;Arial;sans-serif"/>
          <w:b w:val="false"/>
          <w:i w:val="false"/>
          <w:caps w:val="false"/>
          <w:smallCaps w:val="false"/>
          <w:color w:val="1D2228"/>
          <w:spacing w:val="0"/>
          <w:sz w:val="24"/>
          <w:u w:val="single"/>
        </w:rPr>
        <w:t>is not a valid reason</w:t>
      </w:r>
      <w:r>
        <w:rPr>
          <w:rFonts w:ascii="Helvetica Neue;Helvetica;Arial;sans-serif" w:hAnsi="Helvetica Neue;Helvetica;Arial;sans-serif"/>
          <w:b w:val="false"/>
          <w:i w:val="false"/>
          <w:caps w:val="false"/>
          <w:smallCaps w:val="false"/>
          <w:color w:val="1D2228"/>
          <w:spacing w:val="0"/>
          <w:sz w:val="24"/>
        </w:rPr>
        <w:t xml:space="preserve"> to require a hearing"  plus "Accordingly, the hearing request is </w:t>
      </w:r>
      <w:r>
        <w:rPr>
          <w:rFonts w:ascii="Helvetica Neue;Helvetica;Arial;sans-serif" w:hAnsi="Helvetica Neue;Helvetica;Arial;sans-serif"/>
          <w:b w:val="false"/>
          <w:i w:val="false"/>
          <w:caps w:val="false"/>
          <w:smallCaps w:val="false"/>
          <w:color w:val="1D2228"/>
          <w:spacing w:val="0"/>
          <w:sz w:val="24"/>
          <w:u w:val="single"/>
        </w:rPr>
        <w:t>invalid and should be denied"</w:t>
      </w:r>
      <w:r>
        <w:rPr>
          <w:rFonts w:ascii="Helvetica Neue;Helvetica;Arial;sans-serif" w:hAnsi="Helvetica Neue;Helvetica;Arial;sans-serif"/>
          <w:b w:val="false"/>
          <w:i w:val="false"/>
          <w:caps w:val="false"/>
          <w:smallCaps w:val="false"/>
          <w:color w:val="1D2228"/>
          <w:spacing w:val="0"/>
          <w:sz w:val="24"/>
        </w:rPr>
        <w:t xml:space="preserve"> .  </w:t>
      </w:r>
    </w:p>
    <w:p>
      <w:pPr>
        <w:pStyle w:val="Normal"/>
        <w:widowControl/>
        <w:bidi w:val="0"/>
        <w:ind w:left="0" w:right="0" w:hanging="0"/>
        <w:jc w:val="left"/>
        <w:rPr>
          <w:caps w:val="false"/>
          <w:smallCaps w:val="false"/>
          <w:color w:val="1D2228"/>
          <w:spacing w:val="0"/>
        </w:rPr>
      </w:pPr>
      <w:r>
        <w:rPr>
          <w:caps w:val="false"/>
          <w:smallCaps w:val="false"/>
          <w:color w:val="1D2228"/>
          <w:spacing w:val="0"/>
        </w:rPr>
        <w:t xml:space="preserve">    </w:t>
      </w:r>
      <w:r>
        <w:rPr>
          <w:rFonts w:ascii="Helvetica Neue;Helvetica;Arial;sans-serif" w:hAnsi="Helvetica Neue;Helvetica;Arial;sans-serif"/>
          <w:b w:val="false"/>
          <w:i w:val="false"/>
          <w:caps w:val="false"/>
          <w:smallCaps w:val="false"/>
          <w:color w:val="1D2228"/>
          <w:spacing w:val="0"/>
          <w:sz w:val="24"/>
        </w:rPr>
        <w:t xml:space="preserve">Additionally, "while the rates themselves have been found to be </w:t>
      </w:r>
      <w:r>
        <w:rPr>
          <w:rFonts w:ascii="Helvetica Neue;Helvetica;Arial;sans-serif" w:hAnsi="Helvetica Neue;Helvetica;Arial;sans-serif"/>
          <w:b w:val="false"/>
          <w:i w:val="false"/>
          <w:caps w:val="false"/>
          <w:smallCaps w:val="false"/>
          <w:color w:val="1D2228"/>
          <w:spacing w:val="0"/>
          <w:sz w:val="24"/>
          <w:u w:val="single"/>
        </w:rPr>
        <w:t>just and reasonable</w:t>
      </w:r>
      <w:r>
        <w:rPr>
          <w:rFonts w:ascii="Helvetica Neue;Helvetica;Arial;sans-serif" w:hAnsi="Helvetica Neue;Helvetica;Arial;sans-serif"/>
          <w:b w:val="false"/>
          <w:i w:val="false"/>
          <w:caps w:val="false"/>
          <w:smallCaps w:val="false"/>
          <w:color w:val="1D2228"/>
          <w:spacing w:val="0"/>
          <w:sz w:val="24"/>
        </w:rPr>
        <w:t xml:space="preserve"> and necessary" and quote "which prohibits the PUC of Texas (Commission) from requiring an acquiring utility to file a full rate case to establish the initial rates for any customers acquired". </w:t>
      </w:r>
    </w:p>
    <w:p>
      <w:pPr>
        <w:pStyle w:val="Normal"/>
        <w:widowControl/>
        <w:bidi w:val="0"/>
        <w:ind w:left="0" w:right="0" w:hanging="0"/>
        <w:jc w:val="left"/>
        <w:rPr>
          <w:caps w:val="false"/>
          <w:smallCaps w:val="false"/>
          <w:color w:val="1D2228"/>
          <w:spacing w:val="0"/>
        </w:rPr>
      </w:pPr>
      <w:r>
        <w:rPr>
          <w:caps w:val="false"/>
          <w:smallCaps w:val="false"/>
          <w:color w:val="1D2228"/>
          <w:spacing w:val="0"/>
        </w:rPr>
        <w:t xml:space="preserve">    </w:t>
      </w:r>
      <w:r>
        <w:rPr>
          <w:rFonts w:ascii="Helvetica Neue;Helvetica;Arial;sans-serif" w:hAnsi="Helvetica Neue;Helvetica;Arial;sans-serif"/>
          <w:b w:val="false"/>
          <w:i w:val="false"/>
          <w:caps w:val="false"/>
          <w:smallCaps w:val="false"/>
          <w:color w:val="1D2228"/>
          <w:spacing w:val="0"/>
          <w:sz w:val="24"/>
        </w:rPr>
        <w:t>The objection of Mr. Fairfax's request with a justification that it was filed after 3pm.</w:t>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r>
    </w:p>
    <w:p>
      <w:pPr>
        <w:pStyle w:val="Normal"/>
        <w:widowControl/>
        <w:bidi w:val="0"/>
        <w:ind w:left="0" w:right="0" w:hanging="0"/>
        <w:jc w:val="left"/>
        <w:rPr>
          <w:caps w:val="false"/>
          <w:smallCaps w:val="false"/>
          <w:color w:val="1D2228"/>
          <w:spacing w:val="0"/>
        </w:rPr>
      </w:pPr>
      <w:r>
        <w:rPr>
          <w:caps w:val="false"/>
          <w:smallCaps w:val="false"/>
          <w:color w:val="1D2228"/>
          <w:spacing w:val="0"/>
        </w:rPr>
        <w:t xml:space="preserve">    </w:t>
      </w:r>
      <w:r>
        <w:rPr>
          <w:rFonts w:ascii="Helvetica Neue;Helvetica;Arial;sans-serif" w:hAnsi="Helvetica Neue;Helvetica;Arial;sans-serif"/>
          <w:b w:val="false"/>
          <w:i w:val="false"/>
          <w:caps w:val="false"/>
          <w:smallCaps w:val="false"/>
          <w:color w:val="1D2228"/>
          <w:spacing w:val="0"/>
          <w:sz w:val="24"/>
        </w:rPr>
        <w:t xml:space="preserve">All these quotes, </w:t>
      </w:r>
      <w:r>
        <w:rPr>
          <w:rFonts w:ascii="Helvetica Neue;Helvetica;Arial;sans-serif" w:hAnsi="Helvetica Neue;Helvetica;Arial;sans-serif"/>
          <w:b w:val="false"/>
          <w:i w:val="false"/>
          <w:caps w:val="false"/>
          <w:smallCaps w:val="false"/>
          <w:color w:val="1D2228"/>
          <w:spacing w:val="0"/>
          <w:sz w:val="24"/>
        </w:rPr>
        <w:t>from TWU,</w:t>
      </w:r>
      <w:r>
        <w:rPr>
          <w:rFonts w:ascii="Helvetica Neue;Helvetica;Arial;sans-serif" w:hAnsi="Helvetica Neue;Helvetica;Arial;sans-serif"/>
          <w:b w:val="false"/>
          <w:i w:val="false"/>
          <w:caps w:val="false"/>
          <w:smallCaps w:val="false"/>
          <w:color w:val="1D2228"/>
          <w:spacing w:val="0"/>
          <w:sz w:val="24"/>
        </w:rPr>
        <w:t xml:space="preserve"> are very concerning and my question is on all other paragraphs in TWC 13. </w:t>
      </w:r>
    </w:p>
    <w:p>
      <w:pPr>
        <w:pStyle w:val="Normal"/>
        <w:widowControl/>
        <w:bidi w:val="0"/>
        <w:ind w:left="0" w:right="0" w:hanging="0"/>
        <w:jc w:val="left"/>
        <w:rPr>
          <w:caps w:val="false"/>
          <w:smallCaps w:val="false"/>
          <w:color w:val="1D2228"/>
          <w:spacing w:val="0"/>
        </w:rPr>
      </w:pPr>
      <w:r>
        <w:rPr>
          <w:caps w:val="false"/>
          <w:smallCaps w:val="false"/>
          <w:color w:val="1D2228"/>
          <w:spacing w:val="0"/>
        </w:rPr>
        <w:t> </w:t>
      </w:r>
    </w:p>
    <w:p>
      <w:pPr>
        <w:pStyle w:val="Normal"/>
        <w:widowControl/>
        <w:bidi w:val="0"/>
        <w:ind w:left="0" w:right="0" w:hanging="0"/>
        <w:jc w:val="left"/>
        <w:rPr>
          <w:caps w:val="false"/>
          <w:smallCaps w:val="false"/>
          <w:color w:val="1D2228"/>
          <w:spacing w:val="0"/>
        </w:rPr>
      </w:pPr>
      <w:r>
        <w:rPr>
          <w:caps w:val="false"/>
          <w:smallCaps w:val="false"/>
          <w:color w:val="1D2228"/>
          <w:spacing w:val="0"/>
        </w:rPr>
        <w:t xml:space="preserve">    </w:t>
      </w:r>
      <w:r>
        <w:rPr>
          <w:rFonts w:ascii="Helvetica Neue;Helvetica;Arial;sans-serif" w:hAnsi="Helvetica Neue;Helvetica;Arial;sans-serif"/>
          <w:b w:val="false"/>
          <w:i w:val="false"/>
          <w:caps w:val="false"/>
          <w:smallCaps w:val="false"/>
          <w:color w:val="1D2228"/>
          <w:spacing w:val="0"/>
          <w:sz w:val="24"/>
        </w:rPr>
        <w:t>TWC 13.001 Legislative Policy and Purpose starts with "</w:t>
      </w:r>
      <w:r>
        <w:rPr>
          <w:rFonts w:ascii="Helvetica Neue;Helvetica;Arial;sans-serif" w:hAnsi="Helvetica Neue;Helvetica;Arial;sans-serif"/>
          <w:b/>
          <w:i w:val="false"/>
          <w:caps w:val="false"/>
          <w:smallCaps w:val="false"/>
          <w:color w:val="1D2228"/>
          <w:spacing w:val="0"/>
          <w:sz w:val="24"/>
        </w:rPr>
        <w:t>to protect the public interest inherent in the rates and services"</w:t>
      </w:r>
      <w:r>
        <w:rPr>
          <w:rFonts w:ascii="Helvetica Neue;Helvetica;Arial;sans-serif" w:hAnsi="Helvetica Neue;Helvetica;Arial;sans-serif"/>
          <w:b w:val="false"/>
          <w:i w:val="false"/>
          <w:caps w:val="false"/>
          <w:smallCaps w:val="false"/>
          <w:color w:val="1D2228"/>
          <w:spacing w:val="0"/>
          <w:sz w:val="24"/>
        </w:rPr>
        <w:t> and "retail public utilities are by definition monopolies in the area they serve".  Additionally, Sec 13.017 speaks of "shall assess the effect of utility rate changes and other regulatory actions on residential consumers".  Sec 13.3011 (a) states the "purchase or acquisition .....system </w:t>
      </w:r>
      <w:r>
        <w:rPr>
          <w:rFonts w:ascii="Helvetica Neue;Helvetica;Arial;sans-serif" w:hAnsi="Helvetica Neue;Helvetica;Arial;sans-serif"/>
          <w:b/>
          <w:i w:val="false"/>
          <w:caps w:val="false"/>
          <w:smallCaps w:val="false"/>
          <w:color w:val="1D2228"/>
          <w:spacing w:val="0"/>
          <w:sz w:val="24"/>
        </w:rPr>
        <w:t>MAY</w:t>
      </w:r>
      <w:r>
        <w:rPr>
          <w:rFonts w:ascii="Helvetica Neue;Helvetica;Arial;sans-serif" w:hAnsi="Helvetica Neue;Helvetica;Arial;sans-serif"/>
          <w:b w:val="false"/>
          <w:i w:val="false"/>
          <w:caps w:val="false"/>
          <w:smallCaps w:val="false"/>
          <w:color w:val="1D2228"/>
          <w:spacing w:val="0"/>
          <w:sz w:val="24"/>
        </w:rPr>
        <w:t> request....authorize the person to charge initial rates" and (b) "The regulatory authority may not require....(a) to </w:t>
      </w:r>
      <w:r>
        <w:rPr>
          <w:rFonts w:ascii="Helvetica Neue;Helvetica;Arial;sans-serif" w:hAnsi="Helvetica Neue;Helvetica;Arial;sans-serif"/>
          <w:b/>
          <w:i w:val="false"/>
          <w:caps w:val="false"/>
          <w:smallCaps w:val="false"/>
          <w:color w:val="1D2228"/>
          <w:spacing w:val="0"/>
          <w:sz w:val="24"/>
        </w:rPr>
        <w:t>initiate a new rate proceeding to establish the initial rates</w:t>
      </w:r>
      <w:r>
        <w:rPr>
          <w:rFonts w:ascii="Helvetica Neue;Helvetica;Arial;sans-serif" w:hAnsi="Helvetica Neue;Helvetica;Arial;sans-serif"/>
          <w:b w:val="false"/>
          <w:i w:val="false"/>
          <w:caps w:val="false"/>
          <w:smallCaps w:val="false"/>
          <w:color w:val="1D2228"/>
          <w:spacing w:val="0"/>
          <w:sz w:val="24"/>
        </w:rPr>
        <w:t> for ....." and Sec 13.301(e) "public hearing to determine if the transaction </w:t>
      </w:r>
      <w:r>
        <w:rPr>
          <w:rFonts w:ascii="Helvetica Neue;Helvetica;Arial;sans-serif" w:hAnsi="Helvetica Neue;Helvetica;Arial;sans-serif"/>
          <w:b/>
          <w:i w:val="false"/>
          <w:caps w:val="false"/>
          <w:smallCaps w:val="false"/>
          <w:color w:val="1D2228"/>
          <w:spacing w:val="0"/>
          <w:sz w:val="24"/>
        </w:rPr>
        <w:t>will serve the public interest</w:t>
      </w:r>
      <w:r>
        <w:rPr>
          <w:rFonts w:ascii="Helvetica Neue;Helvetica;Arial;sans-serif" w:hAnsi="Helvetica Neue;Helvetica;Arial;sans-serif"/>
          <w:b w:val="false"/>
          <w:i w:val="false"/>
          <w:caps w:val="false"/>
          <w:smallCaps w:val="false"/>
          <w:color w:val="1D2228"/>
          <w:spacing w:val="0"/>
          <w:sz w:val="24"/>
        </w:rPr>
        <w:t>" + Sec 13.182 (a) ..."</w:t>
      </w:r>
      <w:r>
        <w:rPr>
          <w:rFonts w:ascii="Helvetica Neue;Helvetica;Arial;sans-serif" w:hAnsi="Helvetica Neue;Helvetica;Arial;sans-serif"/>
          <w:b/>
          <w:i w:val="false"/>
          <w:caps w:val="false"/>
          <w:smallCaps w:val="false"/>
          <w:color w:val="1D2228"/>
          <w:spacing w:val="0"/>
          <w:sz w:val="24"/>
        </w:rPr>
        <w:t>shall ensure that every rate </w:t>
      </w:r>
      <w:r>
        <w:rPr>
          <w:rFonts w:ascii="Helvetica Neue;Helvetica;Arial;sans-serif" w:hAnsi="Helvetica Neue;Helvetica;Arial;sans-serif"/>
          <w:b w:val="false"/>
          <w:i w:val="false"/>
          <w:caps w:val="false"/>
          <w:smallCaps w:val="false"/>
          <w:color w:val="1D2228"/>
          <w:spacing w:val="0"/>
          <w:sz w:val="24"/>
        </w:rPr>
        <w:t>made, demanded, or received by any utility or by ....</w:t>
      </w:r>
      <w:r>
        <w:rPr>
          <w:rFonts w:ascii="Helvetica Neue;Helvetica;Arial;sans-serif" w:hAnsi="Helvetica Neue;Helvetica;Arial;sans-serif"/>
          <w:b/>
          <w:i w:val="false"/>
          <w:caps w:val="false"/>
          <w:smallCaps w:val="false"/>
          <w:color w:val="1D2228"/>
          <w:spacing w:val="0"/>
          <w:sz w:val="24"/>
        </w:rPr>
        <w:t>shall be just and reasonable".</w:t>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t xml:space="preserve">Are these paragraphs ignored by TWU? </w:t>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t>TWU's proposed tariff is a </w:t>
      </w:r>
      <w:r>
        <w:rPr>
          <w:rFonts w:ascii="Helvetica Neue;Helvetica;Arial;sans-serif" w:hAnsi="Helvetica Neue;Helvetica;Arial;sans-serif"/>
          <w:b/>
          <w:i w:val="false"/>
          <w:caps w:val="false"/>
          <w:smallCaps w:val="false"/>
          <w:color w:val="1D2228"/>
          <w:spacing w:val="0"/>
          <w:sz w:val="24"/>
        </w:rPr>
        <w:t>92% increase.</w:t>
      </w:r>
      <w:r>
        <w:rPr>
          <w:rFonts w:ascii="Helvetica Neue;Helvetica;Arial;sans-serif" w:hAnsi="Helvetica Neue;Helvetica;Arial;sans-serif"/>
          <w:b w:val="false"/>
          <w:i w:val="false"/>
          <w:caps w:val="false"/>
          <w:smallCaps w:val="false"/>
          <w:color w:val="1D2228"/>
          <w:spacing w:val="0"/>
          <w:sz w:val="24"/>
        </w:rPr>
        <w:t> 3000 gallon current $36.01 to proposed $69.31.  </w:t>
      </w:r>
      <w:r>
        <w:rPr>
          <w:rFonts w:ascii="Helvetica Neue;Helvetica;Arial;sans-serif" w:hAnsi="Helvetica Neue;Helvetica;Arial;sans-serif"/>
          <w:b/>
          <w:i w:val="false"/>
          <w:caps w:val="false"/>
          <w:smallCaps w:val="false"/>
          <w:color w:val="1D2228"/>
          <w:spacing w:val="0"/>
          <w:sz w:val="24"/>
        </w:rPr>
        <w:t>Just and reasonable/will serve the public?</w:t>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t>We currently have our own </w:t>
      </w:r>
      <w:r>
        <w:rPr>
          <w:rFonts w:ascii="Helvetica Neue;Helvetica;Arial;sans-serif" w:hAnsi="Helvetica Neue;Helvetica;Arial;sans-serif"/>
          <w:b/>
          <w:i w:val="false"/>
          <w:caps w:val="false"/>
          <w:smallCaps w:val="false"/>
          <w:color w:val="1D2228"/>
          <w:spacing w:val="0"/>
          <w:sz w:val="24"/>
        </w:rPr>
        <w:t>initial tariff rate, Docket No. 51017 eff. 24 Oct 2020</w:t>
      </w:r>
      <w:r>
        <w:rPr>
          <w:rFonts w:ascii="Helvetica Neue;Helvetica;Arial;sans-serif" w:hAnsi="Helvetica Neue;Helvetica;Arial;sans-serif"/>
          <w:b w:val="false"/>
          <w:i w:val="false"/>
          <w:caps w:val="false"/>
          <w:smallCaps w:val="false"/>
          <w:color w:val="1D2228"/>
          <w:spacing w:val="0"/>
          <w:sz w:val="24"/>
        </w:rPr>
        <w:t>.  No new process required or needed.</w:t>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t>We are a Class D utility.  Utilities are authorized to submit 5% increment increase requests without hearing requirements.  Not </w:t>
      </w:r>
      <w:r>
        <w:rPr>
          <w:rFonts w:ascii="Helvetica Neue;Helvetica;Arial;sans-serif" w:hAnsi="Helvetica Neue;Helvetica;Arial;sans-serif"/>
          <w:b/>
          <w:i w:val="false"/>
          <w:caps w:val="false"/>
          <w:smallCaps w:val="false"/>
          <w:color w:val="1D2228"/>
          <w:spacing w:val="0"/>
          <w:sz w:val="24"/>
        </w:rPr>
        <w:t>92%.</w:t>
      </w:r>
    </w:p>
    <w:p>
      <w:pPr>
        <w:pStyle w:val="Normal"/>
        <w:widowControl/>
        <w:bidi w:val="0"/>
        <w:ind w:left="0" w:right="0" w:hanging="0"/>
        <w:jc w:val="left"/>
        <w:rPr>
          <w:rFonts w:ascii="Helvetica Neue;Helvetica;Arial;sans-serif" w:hAnsi="Helvetica Neue;Helvetica;Arial;sans-serif"/>
          <w:b/>
          <w:i w:val="false"/>
          <w:i w:val="false"/>
          <w:caps w:val="false"/>
          <w:smallCaps w:val="false"/>
          <w:color w:val="1D2228"/>
          <w:spacing w:val="0"/>
          <w:sz w:val="24"/>
        </w:rPr>
      </w:pPr>
      <w:r>
        <w:rPr>
          <w:rFonts w:ascii="Helvetica Neue;Helvetica;Arial;sans-serif" w:hAnsi="Helvetica Neue;Helvetica;Arial;sans-serif"/>
          <w:b/>
          <w:i w:val="false"/>
          <w:caps w:val="false"/>
          <w:smallCaps w:val="false"/>
          <w:color w:val="1D2228"/>
          <w:spacing w:val="0"/>
          <w:sz w:val="24"/>
        </w:rPr>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t>TWU's Docket No. 50944 (Tariff) shows numerous locations that are </w:t>
      </w:r>
      <w:r>
        <w:rPr>
          <w:rFonts w:ascii="Helvetica Neue;Helvetica;Arial;sans-serif" w:hAnsi="Helvetica Neue;Helvetica;Arial;sans-serif"/>
          <w:b/>
          <w:i w:val="false"/>
          <w:caps w:val="false"/>
          <w:smallCaps w:val="false"/>
          <w:color w:val="1D2228"/>
          <w:spacing w:val="0"/>
          <w:sz w:val="24"/>
        </w:rPr>
        <w:t>the same or even lower</w:t>
      </w:r>
      <w:r>
        <w:rPr>
          <w:rFonts w:ascii="Helvetica Neue;Helvetica;Arial;sans-serif" w:hAnsi="Helvetica Neue;Helvetica;Arial;sans-serif"/>
          <w:b w:val="false"/>
          <w:i w:val="false"/>
          <w:caps w:val="false"/>
          <w:smallCaps w:val="false"/>
          <w:color w:val="1D2228"/>
          <w:spacing w:val="0"/>
          <w:sz w:val="24"/>
        </w:rPr>
        <w:t> than us plus gives them a blanket authority for numerous counties.  (Monopoly ?)</w:t>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t>PUC Order No. 10 that requested us to submit applications "must be filed by August 25, 2023".  Mr. Fairfax and Ms./Mr. Stover both submitted applications on that date.  No mentioning of a time line.</w:t>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t>Omission by TWU of Ms Pillow due to oversight.</w:t>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t>All the above are concerning to us, the consumers.</w:t>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
    </w:p>
    <w:p>
      <w:pPr>
        <w:pStyle w:val="Normal"/>
        <w:widowControl/>
        <w:bidi w:val="0"/>
        <w:ind w:left="0" w:right="0" w:hanging="0"/>
        <w:jc w:val="left"/>
        <w:rPr>
          <w:rFonts w:ascii="Helvetica Neue;Helvetica;Arial;sans-serif" w:hAnsi="Helvetica Neue;Helvetica;Arial;sans-serif"/>
          <w:b w:val="false"/>
          <w:i w:val="false"/>
          <w:i w:val="false"/>
          <w:caps w:val="false"/>
          <w:smallCaps w:val="false"/>
          <w:color w:val="1D2228"/>
          <w:spacing w:val="0"/>
          <w:sz w:val="24"/>
        </w:rPr>
      </w:pPr>
      <w:r>
        <w:rPr>
          <w:rFonts w:ascii="Helvetica Neue;Helvetica;Arial;sans-serif" w:hAnsi="Helvetica Neue;Helvetica;Arial;sans-serif"/>
          <w:b w:val="false"/>
          <w:i w:val="false"/>
          <w:caps w:val="false"/>
          <w:smallCaps w:val="false"/>
          <w:color w:val="1D2228"/>
          <w:spacing w:val="0"/>
          <w:sz w:val="24"/>
        </w:rPr>
        <w:t>Anna Miller</w:t>
      </w:r>
    </w:p>
    <w:p>
      <w:pPr>
        <w:pStyle w:val="Normal"/>
        <w:bidi w:val="0"/>
        <w:jc w:val="left"/>
        <w:rPr/>
      </w:pPr>
      <w:r>
        <w:rPr/>
        <w:br/>
      </w:r>
    </w:p>
    <w:sectPr>
      <w:type w:val="nextPage"/>
      <w:pgSz w:w="12240" w:h="15840"/>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Helvetica Neue">
    <w:altName w:val="Helvetica"/>
    <w:charset w:val="00"/>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33</TotalTime>
  <Application>LibreOffice/7.5.2.2$Windows_X86_64 LibreOffice_project/53bb9681a964705cf672590721dbc85eb4d0c3a2</Application>
  <AppVersion>15.0000</AppVersion>
  <Pages>2</Pages>
  <Words>433</Words>
  <Characters>2210</Characters>
  <CharactersWithSpaces>2668</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2023-08-29T16:13:45Z</dcterms:created>
  <dc:creator/>
  <dc:description/>
  <dc:language>en-US</dc:language>
  <cp:lastModifiedBy/>
  <dcterms:modified xsi:type="dcterms:W3CDTF">2023-08-30T10:59:39Z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